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137B1">
      <w:pPr>
        <w:spacing w:line="600" w:lineRule="exact"/>
        <w:ind w:firstLine="640" w:firstLineChars="200"/>
        <w:rPr>
          <w:rFonts w:ascii="黑体" w:hAnsi="黑体" w:eastAsia="黑体" w:cs="黑体"/>
          <w:sz w:val="32"/>
          <w:szCs w:val="32"/>
        </w:rPr>
      </w:pPr>
    </w:p>
    <w:p w14:paraId="7513059B">
      <w:pPr>
        <w:spacing w:line="560" w:lineRule="exact"/>
        <w:jc w:val="center"/>
        <w:rPr>
          <w:rFonts w:hint="eastAsia" w:ascii="方正小标宋简体" w:hAnsi="Times New Roman" w:eastAsia="方正小标宋简体" w:cs="Times New Roman"/>
          <w:sz w:val="36"/>
          <w:szCs w:val="36"/>
          <w:lang w:eastAsia="zh-CN"/>
        </w:rPr>
      </w:pPr>
      <w:r>
        <w:rPr>
          <w:rFonts w:hint="eastAsia" w:ascii="方正小标宋简体" w:eastAsia="方正小标宋简体"/>
          <w:sz w:val="36"/>
          <w:szCs w:val="36"/>
        </w:rPr>
        <w:t>北京市对朝阳区</w:t>
      </w:r>
      <w:r>
        <w:rPr>
          <w:rFonts w:hint="eastAsia" w:ascii="方正小标宋简体" w:hAnsi="Times New Roman" w:eastAsia="方正小标宋简体" w:cs="Times New Roman"/>
          <w:sz w:val="36"/>
          <w:szCs w:val="36"/>
          <w:lang w:eastAsia="zh-CN"/>
        </w:rPr>
        <w:t>中央支持地方公共文化服务建设</w:t>
      </w:r>
    </w:p>
    <w:p w14:paraId="0E6064A1">
      <w:pPr>
        <w:spacing w:line="560" w:lineRule="exact"/>
        <w:jc w:val="center"/>
        <w:rPr>
          <w:rFonts w:hint="eastAsia" w:ascii="方正小标宋简体" w:eastAsia="方正小标宋简体"/>
          <w:sz w:val="36"/>
          <w:szCs w:val="36"/>
        </w:rPr>
      </w:pPr>
      <w:r>
        <w:rPr>
          <w:rFonts w:hint="eastAsia" w:ascii="方正小标宋简体" w:hAnsi="Times New Roman" w:eastAsia="方正小标宋简体" w:cs="Times New Roman"/>
          <w:sz w:val="36"/>
          <w:szCs w:val="36"/>
          <w:lang w:eastAsia="zh-CN"/>
        </w:rPr>
        <w:t>补助</w:t>
      </w:r>
      <w:r>
        <w:rPr>
          <w:rFonts w:hint="eastAsia" w:ascii="方正小标宋简体" w:hAnsi="Times New Roman" w:eastAsia="方正小标宋简体" w:cs="Times New Roman"/>
          <w:sz w:val="36"/>
          <w:szCs w:val="36"/>
        </w:rPr>
        <w:t>项目</w:t>
      </w:r>
      <w:r>
        <w:rPr>
          <w:rFonts w:hint="eastAsia" w:ascii="方正小标宋简体" w:eastAsia="方正小标宋简体"/>
          <w:sz w:val="36"/>
          <w:szCs w:val="36"/>
        </w:rPr>
        <w:t>转移支付预算执行情况绩效自评报告</w:t>
      </w:r>
    </w:p>
    <w:p w14:paraId="6FDBAC0A">
      <w:pPr>
        <w:jc w:val="center"/>
        <w:rPr>
          <w:rFonts w:ascii="仿宋_GB2312"/>
          <w:szCs w:val="30"/>
        </w:rPr>
      </w:pPr>
    </w:p>
    <w:p w14:paraId="7F4E528D">
      <w:pPr>
        <w:spacing w:line="60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eastAsia="zh-CN"/>
        </w:rPr>
        <w:t>一、</w:t>
      </w:r>
      <w:r>
        <w:rPr>
          <w:rFonts w:hint="eastAsia" w:ascii="黑体" w:hAnsi="黑体" w:eastAsia="黑体" w:cs="黑体"/>
          <w:sz w:val="28"/>
          <w:szCs w:val="28"/>
        </w:rPr>
        <w:t>转移支付基本情况</w:t>
      </w:r>
    </w:p>
    <w:p w14:paraId="2D4FF941">
      <w:p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（一）中央支持地方公共文化服务建设补助</w:t>
      </w:r>
      <w:r>
        <w:rPr>
          <w:rFonts w:hint="eastAsia" w:ascii="楷体_GB2312" w:hAnsi="楷体_GB2312" w:eastAsia="楷体_GB2312" w:cs="楷体_GB2312"/>
          <w:sz w:val="28"/>
          <w:szCs w:val="28"/>
        </w:rPr>
        <w:t>项目转移支付概况。</w:t>
      </w:r>
    </w:p>
    <w:p w14:paraId="33B8F31B">
      <w:pPr>
        <w:spacing w:line="600" w:lineRule="exact"/>
        <w:ind w:firstLine="560" w:firstLineChars="200"/>
        <w:rPr>
          <w:rFonts w:hint="eastAsia"/>
        </w:rPr>
      </w:pPr>
      <w:r>
        <w:rPr>
          <w:rFonts w:hint="default" w:ascii="楷体_GB2312" w:hAnsi="楷体_GB2312" w:eastAsia="楷体_GB2312" w:cs="楷体_GB2312"/>
          <w:sz w:val="28"/>
          <w:szCs w:val="28"/>
          <w:lang w:val="en-US" w:eastAsia="zh-CN"/>
        </w:rPr>
        <w:t>为进一步加强公共文化服务体系建设，满足人民群众基本文化需求，努力实现基本文化服务均等化，通过举办系列公益性文化活动，积极为群众提供人文、舒适的设施环境，营造浓郁的文化氛围，提供演出、讲座、展览等多元公共文化产品，提升市民文化素养和城市文明程度，展示群众文化精神面貌，满足人民群众日益增长的文化生活需求。全年完成任务目标。</w:t>
      </w:r>
    </w:p>
    <w:p w14:paraId="64B47A9F">
      <w:p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（二）</w:t>
      </w:r>
      <w:r>
        <w:rPr>
          <w:rFonts w:hint="eastAsia" w:ascii="楷体_GB2312" w:hAnsi="楷体_GB2312" w:eastAsia="楷体_GB2312" w:cs="楷体_GB2312"/>
          <w:sz w:val="28"/>
          <w:szCs w:val="28"/>
        </w:rPr>
        <w:t>资金投入情况分析</w:t>
      </w:r>
    </w:p>
    <w:p w14:paraId="293E5C03">
      <w:pPr>
        <w:pStyle w:val="2"/>
        <w:rPr>
          <w:rFonts w:hint="default" w:ascii="楷体_GB2312" w:hAnsi="楷体_GB2312" w:eastAsia="楷体_GB2312" w:cs="楷体_GB2312"/>
          <w:b w:val="0"/>
          <w:kern w:val="2"/>
          <w:sz w:val="28"/>
          <w:szCs w:val="28"/>
          <w:lang w:val="en-US" w:eastAsia="zh-CN" w:bidi="ar-SA"/>
        </w:rPr>
      </w:pPr>
      <w:r>
        <w:rPr>
          <w:rFonts w:hint="eastAsia" w:ascii="楷体_GB2312" w:hAnsi="楷体_GB2312" w:eastAsia="楷体_GB2312" w:cs="楷体_GB2312"/>
          <w:b w:val="0"/>
          <w:kern w:val="2"/>
          <w:sz w:val="28"/>
          <w:szCs w:val="28"/>
          <w:lang w:val="en-US" w:eastAsia="zh-CN" w:bidi="ar-SA"/>
        </w:rPr>
        <w:t>1.资金投入：</w:t>
      </w:r>
      <w:r>
        <w:rPr>
          <w:rFonts w:hint="default" w:ascii="楷体_GB2312" w:hAnsi="楷体_GB2312" w:eastAsia="楷体_GB2312" w:cs="楷体_GB2312"/>
          <w:b w:val="0"/>
          <w:kern w:val="2"/>
          <w:sz w:val="28"/>
          <w:szCs w:val="28"/>
          <w:lang w:val="en-US" w:eastAsia="zh-CN" w:bidi="ar-SA"/>
        </w:rPr>
        <w:t>202</w:t>
      </w:r>
      <w:r>
        <w:rPr>
          <w:rFonts w:hint="eastAsia" w:ascii="楷体_GB2312" w:hAnsi="楷体_GB2312" w:eastAsia="楷体_GB2312" w:cs="楷体_GB2312"/>
          <w:b w:val="0"/>
          <w:kern w:val="2"/>
          <w:sz w:val="28"/>
          <w:szCs w:val="28"/>
          <w:lang w:val="en-US" w:eastAsia="zh-CN" w:bidi="ar-SA"/>
        </w:rPr>
        <w:t>4</w:t>
      </w:r>
      <w:r>
        <w:rPr>
          <w:rFonts w:hint="default" w:ascii="楷体_GB2312" w:hAnsi="楷体_GB2312" w:eastAsia="楷体_GB2312" w:cs="楷体_GB2312"/>
          <w:b w:val="0"/>
          <w:kern w:val="2"/>
          <w:sz w:val="28"/>
          <w:szCs w:val="28"/>
          <w:lang w:val="en-US" w:eastAsia="zh-CN" w:bidi="ar-SA"/>
        </w:rPr>
        <w:t>年中央支持地方公共文化服务建设补助下达资金</w:t>
      </w:r>
      <w:r>
        <w:rPr>
          <w:rFonts w:hint="eastAsia" w:ascii="楷体_GB2312" w:hAnsi="楷体_GB2312" w:eastAsia="楷体_GB2312" w:cs="楷体_GB2312"/>
          <w:b w:val="0"/>
          <w:kern w:val="2"/>
          <w:sz w:val="28"/>
          <w:szCs w:val="28"/>
          <w:lang w:val="en-US" w:eastAsia="zh-CN" w:bidi="ar-SA"/>
        </w:rPr>
        <w:t>6.2</w:t>
      </w:r>
      <w:r>
        <w:rPr>
          <w:rFonts w:hint="default" w:ascii="楷体_GB2312" w:hAnsi="楷体_GB2312" w:eastAsia="楷体_GB2312" w:cs="楷体_GB2312"/>
          <w:b w:val="0"/>
          <w:kern w:val="2"/>
          <w:sz w:val="28"/>
          <w:szCs w:val="28"/>
          <w:lang w:val="en-US" w:eastAsia="zh-CN" w:bidi="ar-SA"/>
        </w:rPr>
        <w:t>万元。</w:t>
      </w:r>
    </w:p>
    <w:p w14:paraId="7DC0C1FF">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default" w:ascii="楷体_GB2312" w:hAnsi="楷体_GB2312" w:eastAsia="楷体_GB2312" w:cs="楷体_GB2312"/>
          <w:b w:val="0"/>
          <w:kern w:val="2"/>
          <w:sz w:val="28"/>
          <w:szCs w:val="28"/>
          <w:lang w:val="en-US" w:eastAsia="zh-CN" w:bidi="ar-SA"/>
        </w:rPr>
      </w:pPr>
      <w:r>
        <w:rPr>
          <w:rFonts w:hint="eastAsia" w:ascii="楷体_GB2312" w:hAnsi="楷体_GB2312" w:eastAsia="楷体_GB2312" w:cs="楷体_GB2312"/>
          <w:b w:val="0"/>
          <w:kern w:val="2"/>
          <w:sz w:val="28"/>
          <w:szCs w:val="28"/>
          <w:lang w:val="en-US" w:eastAsia="zh-CN" w:bidi="ar-SA"/>
        </w:rPr>
        <w:t>2.执行情况：</w:t>
      </w:r>
      <w:r>
        <w:rPr>
          <w:rFonts w:hint="eastAsia" w:ascii="楷体_GB2312" w:hAnsi="楷体_GB2312" w:eastAsia="楷体_GB2312" w:cs="楷体_GB2312"/>
          <w:b w:val="0"/>
          <w:kern w:val="2"/>
          <w:sz w:val="28"/>
          <w:szCs w:val="28"/>
          <w:lang w:val="en-US" w:eastAsia="zh-CN" w:bidi="ar-SA"/>
        </w:rPr>
        <w:t>本着节约资金，高效完成目标任务的原则，</w:t>
      </w:r>
      <w:r>
        <w:rPr>
          <w:rFonts w:hint="default" w:ascii="楷体_GB2312" w:hAnsi="楷体_GB2312" w:eastAsia="楷体_GB2312" w:cs="楷体_GB2312"/>
          <w:b w:val="0"/>
          <w:kern w:val="2"/>
          <w:sz w:val="28"/>
          <w:szCs w:val="28"/>
          <w:lang w:val="en-US" w:eastAsia="zh-CN" w:bidi="ar-SA"/>
        </w:rPr>
        <w:t>截至202</w:t>
      </w:r>
      <w:r>
        <w:rPr>
          <w:rFonts w:hint="eastAsia" w:ascii="楷体_GB2312" w:hAnsi="楷体_GB2312" w:eastAsia="楷体_GB2312" w:cs="楷体_GB2312"/>
          <w:b w:val="0"/>
          <w:kern w:val="2"/>
          <w:sz w:val="28"/>
          <w:szCs w:val="28"/>
          <w:lang w:val="en-US" w:eastAsia="zh-CN" w:bidi="ar-SA"/>
        </w:rPr>
        <w:t>4</w:t>
      </w:r>
      <w:r>
        <w:rPr>
          <w:rFonts w:hint="default" w:ascii="楷体_GB2312" w:hAnsi="楷体_GB2312" w:eastAsia="楷体_GB2312" w:cs="楷体_GB2312"/>
          <w:b w:val="0"/>
          <w:kern w:val="2"/>
          <w:sz w:val="28"/>
          <w:szCs w:val="28"/>
          <w:lang w:val="en-US" w:eastAsia="zh-CN" w:bidi="ar-SA"/>
        </w:rPr>
        <w:t>年底，该专项转移支付资金</w:t>
      </w:r>
      <w:r>
        <w:rPr>
          <w:rFonts w:hint="eastAsia" w:ascii="楷体_GB2312" w:hAnsi="楷体_GB2312" w:eastAsia="楷体_GB2312" w:cs="楷体_GB2312"/>
          <w:b w:val="0"/>
          <w:kern w:val="2"/>
          <w:sz w:val="28"/>
          <w:szCs w:val="28"/>
          <w:lang w:val="en-US" w:eastAsia="zh-CN" w:bidi="ar-SA"/>
        </w:rPr>
        <w:t>完成</w:t>
      </w:r>
      <w:r>
        <w:rPr>
          <w:rFonts w:hint="default" w:ascii="楷体_GB2312" w:hAnsi="楷体_GB2312" w:eastAsia="楷体_GB2312" w:cs="楷体_GB2312"/>
          <w:b w:val="0"/>
          <w:kern w:val="2"/>
          <w:sz w:val="28"/>
          <w:szCs w:val="28"/>
          <w:lang w:val="en-US" w:eastAsia="zh-CN" w:bidi="ar-SA"/>
        </w:rPr>
        <w:t>支出</w:t>
      </w:r>
      <w:r>
        <w:rPr>
          <w:rFonts w:hint="eastAsia" w:ascii="楷体_GB2312" w:hAnsi="楷体_GB2312" w:eastAsia="楷体_GB2312" w:cs="楷体_GB2312"/>
          <w:b w:val="0"/>
          <w:kern w:val="2"/>
          <w:sz w:val="28"/>
          <w:szCs w:val="28"/>
          <w:lang w:val="en-US" w:eastAsia="zh-CN" w:bidi="ar-SA"/>
        </w:rPr>
        <w:t>5.365</w:t>
      </w:r>
      <w:r>
        <w:rPr>
          <w:rFonts w:hint="default" w:ascii="楷体_GB2312" w:hAnsi="楷体_GB2312" w:eastAsia="楷体_GB2312" w:cs="楷体_GB2312"/>
          <w:b w:val="0"/>
          <w:kern w:val="2"/>
          <w:sz w:val="28"/>
          <w:szCs w:val="28"/>
          <w:lang w:val="en-US" w:eastAsia="zh-CN" w:bidi="ar-SA"/>
        </w:rPr>
        <w:t>万元，执行率</w:t>
      </w:r>
      <w:r>
        <w:rPr>
          <w:rFonts w:hint="eastAsia" w:ascii="楷体_GB2312" w:hAnsi="楷体_GB2312" w:eastAsia="楷体_GB2312" w:cs="楷体_GB2312"/>
          <w:b w:val="0"/>
          <w:kern w:val="2"/>
          <w:sz w:val="28"/>
          <w:szCs w:val="28"/>
          <w:lang w:val="en-US" w:eastAsia="zh-CN" w:bidi="ar-SA"/>
        </w:rPr>
        <w:t>87</w:t>
      </w:r>
      <w:r>
        <w:rPr>
          <w:rFonts w:hint="default" w:ascii="楷体_GB2312" w:hAnsi="楷体_GB2312" w:eastAsia="楷体_GB2312" w:cs="楷体_GB2312"/>
          <w:b w:val="0"/>
          <w:kern w:val="2"/>
          <w:sz w:val="28"/>
          <w:szCs w:val="28"/>
          <w:lang w:val="en-US" w:eastAsia="zh-CN" w:bidi="ar-SA"/>
        </w:rPr>
        <w:t>%。其中：中央下达资金支出</w:t>
      </w:r>
      <w:r>
        <w:rPr>
          <w:rFonts w:hint="eastAsia" w:ascii="楷体_GB2312" w:hAnsi="楷体_GB2312" w:eastAsia="楷体_GB2312" w:cs="楷体_GB2312"/>
          <w:b w:val="0"/>
          <w:kern w:val="2"/>
          <w:sz w:val="28"/>
          <w:szCs w:val="28"/>
          <w:lang w:val="en-US" w:eastAsia="zh-CN" w:bidi="ar-SA"/>
        </w:rPr>
        <w:t>6.2</w:t>
      </w:r>
      <w:r>
        <w:rPr>
          <w:rFonts w:hint="default" w:ascii="楷体_GB2312" w:hAnsi="楷体_GB2312" w:eastAsia="楷体_GB2312" w:cs="楷体_GB2312"/>
          <w:b w:val="0"/>
          <w:kern w:val="2"/>
          <w:sz w:val="28"/>
          <w:szCs w:val="28"/>
          <w:lang w:val="en-US" w:eastAsia="zh-CN" w:bidi="ar-SA"/>
        </w:rPr>
        <w:t>万元，执行率</w:t>
      </w:r>
      <w:r>
        <w:rPr>
          <w:rFonts w:hint="eastAsia" w:ascii="楷体_GB2312" w:hAnsi="楷体_GB2312" w:eastAsia="楷体_GB2312" w:cs="楷体_GB2312"/>
          <w:b w:val="0"/>
          <w:kern w:val="2"/>
          <w:sz w:val="28"/>
          <w:szCs w:val="28"/>
          <w:lang w:val="en-US" w:eastAsia="zh-CN" w:bidi="ar-SA"/>
        </w:rPr>
        <w:t>87</w:t>
      </w:r>
      <w:r>
        <w:rPr>
          <w:rFonts w:hint="default" w:ascii="楷体_GB2312" w:hAnsi="楷体_GB2312" w:eastAsia="楷体_GB2312" w:cs="楷体_GB2312"/>
          <w:b w:val="0"/>
          <w:kern w:val="2"/>
          <w:sz w:val="28"/>
          <w:szCs w:val="28"/>
          <w:lang w:val="en-US" w:eastAsia="zh-CN" w:bidi="ar-SA"/>
        </w:rPr>
        <w:t>%；地方资金支出</w:t>
      </w:r>
      <w:r>
        <w:rPr>
          <w:rFonts w:hint="eastAsia" w:ascii="楷体_GB2312" w:hAnsi="楷体_GB2312" w:eastAsia="楷体_GB2312" w:cs="楷体_GB2312"/>
          <w:b w:val="0"/>
          <w:kern w:val="2"/>
          <w:sz w:val="28"/>
          <w:szCs w:val="28"/>
          <w:lang w:val="en-US" w:eastAsia="zh-CN" w:bidi="ar-SA"/>
        </w:rPr>
        <w:t>0</w:t>
      </w:r>
      <w:r>
        <w:rPr>
          <w:rFonts w:hint="default" w:ascii="楷体_GB2312" w:hAnsi="楷体_GB2312" w:eastAsia="楷体_GB2312" w:cs="楷体_GB2312"/>
          <w:b w:val="0"/>
          <w:kern w:val="2"/>
          <w:sz w:val="28"/>
          <w:szCs w:val="28"/>
          <w:lang w:val="en-US" w:eastAsia="zh-CN" w:bidi="ar-SA"/>
        </w:rPr>
        <w:t>万元；其他资金支出0万元。具体</w:t>
      </w:r>
      <w:r>
        <w:rPr>
          <w:rFonts w:hint="eastAsia" w:ascii="楷体_GB2312" w:hAnsi="楷体_GB2312" w:eastAsia="楷体_GB2312" w:cs="楷体_GB2312"/>
          <w:b w:val="0"/>
          <w:kern w:val="2"/>
          <w:sz w:val="28"/>
          <w:szCs w:val="28"/>
          <w:lang w:val="en-US" w:eastAsia="zh-CN" w:bidi="ar-SA"/>
        </w:rPr>
        <w:t>支出</w:t>
      </w:r>
      <w:r>
        <w:rPr>
          <w:rFonts w:hint="default" w:ascii="楷体_GB2312" w:hAnsi="楷体_GB2312" w:eastAsia="楷体_GB2312" w:cs="楷体_GB2312"/>
          <w:b w:val="0"/>
          <w:kern w:val="2"/>
          <w:sz w:val="28"/>
          <w:szCs w:val="28"/>
          <w:lang w:val="en-US" w:eastAsia="zh-CN" w:bidi="ar-SA"/>
        </w:rPr>
        <w:t>情况如下：</w:t>
      </w:r>
    </w:p>
    <w:p w14:paraId="7BA8E8B0">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default" w:ascii="楷体_GB2312" w:hAnsi="楷体_GB2312" w:eastAsia="楷体_GB2312" w:cs="楷体_GB2312"/>
          <w:b w:val="0"/>
          <w:kern w:val="2"/>
          <w:sz w:val="28"/>
          <w:szCs w:val="28"/>
          <w:lang w:val="en-US" w:eastAsia="zh-CN" w:bidi="ar-SA"/>
        </w:rPr>
      </w:pPr>
      <w:r>
        <w:rPr>
          <w:rFonts w:hint="default" w:ascii="楷体_GB2312" w:hAnsi="楷体_GB2312" w:eastAsia="楷体_GB2312" w:cs="楷体_GB2312"/>
          <w:b w:val="0"/>
          <w:kern w:val="2"/>
          <w:sz w:val="28"/>
          <w:szCs w:val="28"/>
          <w:lang w:val="en-US" w:eastAsia="zh-CN" w:bidi="ar-SA"/>
        </w:rPr>
        <w:t>（1）</w:t>
      </w:r>
      <w:r>
        <w:rPr>
          <w:rFonts w:hint="eastAsia" w:ascii="楷体_GB2312" w:hAnsi="楷体_GB2312" w:eastAsia="楷体_GB2312" w:cs="楷体_GB2312"/>
          <w:b w:val="0"/>
          <w:kern w:val="2"/>
          <w:sz w:val="28"/>
          <w:szCs w:val="28"/>
          <w:lang w:val="en-US" w:eastAsia="zh-CN" w:bidi="ar-SA"/>
        </w:rPr>
        <w:t>学才艺，预算5万元：</w:t>
      </w:r>
      <w:r>
        <w:rPr>
          <w:rFonts w:hint="default" w:ascii="楷体_GB2312" w:hAnsi="楷体_GB2312" w:eastAsia="楷体_GB2312" w:cs="楷体_GB2312"/>
          <w:b w:val="0"/>
          <w:kern w:val="2"/>
          <w:sz w:val="28"/>
          <w:szCs w:val="28"/>
          <w:lang w:val="en-US" w:eastAsia="zh-CN" w:bidi="ar-SA"/>
        </w:rPr>
        <w:t>国家公共文化云</w:t>
      </w:r>
      <w:r>
        <w:rPr>
          <w:rFonts w:hint="eastAsia" w:ascii="楷体_GB2312" w:hAnsi="楷体_GB2312" w:eastAsia="楷体_GB2312" w:cs="楷体_GB2312"/>
          <w:b w:val="0"/>
          <w:kern w:val="2"/>
          <w:sz w:val="28"/>
          <w:szCs w:val="28"/>
          <w:lang w:val="en-US" w:eastAsia="zh-CN" w:bidi="ar-SA"/>
        </w:rPr>
        <w:t>围棋、篆刻</w:t>
      </w:r>
      <w:r>
        <w:rPr>
          <w:rFonts w:hint="default" w:ascii="楷体_GB2312" w:hAnsi="楷体_GB2312" w:eastAsia="楷体_GB2312" w:cs="楷体_GB2312"/>
          <w:b w:val="0"/>
          <w:kern w:val="2"/>
          <w:sz w:val="28"/>
          <w:szCs w:val="28"/>
          <w:lang w:val="en-US" w:eastAsia="zh-CN" w:bidi="ar-SA"/>
        </w:rPr>
        <w:t>网络课程拍摄制作费支出</w:t>
      </w:r>
      <w:r>
        <w:rPr>
          <w:rFonts w:hint="eastAsia" w:ascii="楷体_GB2312" w:hAnsi="楷体_GB2312" w:eastAsia="楷体_GB2312" w:cs="楷体_GB2312"/>
          <w:b w:val="0"/>
          <w:kern w:val="2"/>
          <w:sz w:val="28"/>
          <w:szCs w:val="28"/>
          <w:lang w:val="en-US" w:eastAsia="zh-CN" w:bidi="ar-SA"/>
        </w:rPr>
        <w:t>4.86</w:t>
      </w:r>
      <w:r>
        <w:rPr>
          <w:rFonts w:hint="default" w:ascii="楷体_GB2312" w:hAnsi="楷体_GB2312" w:eastAsia="楷体_GB2312" w:cs="楷体_GB2312"/>
          <w:b w:val="0"/>
          <w:kern w:val="2"/>
          <w:sz w:val="28"/>
          <w:szCs w:val="28"/>
          <w:lang w:val="en-US" w:eastAsia="zh-CN" w:bidi="ar-SA"/>
        </w:rPr>
        <w:t>万元，执行率</w:t>
      </w:r>
      <w:r>
        <w:rPr>
          <w:rFonts w:hint="eastAsia" w:ascii="楷体_GB2312" w:hAnsi="楷体_GB2312" w:eastAsia="楷体_GB2312" w:cs="楷体_GB2312"/>
          <w:b w:val="0"/>
          <w:kern w:val="2"/>
          <w:sz w:val="28"/>
          <w:szCs w:val="28"/>
          <w:lang w:val="en-US" w:eastAsia="zh-CN" w:bidi="ar-SA"/>
        </w:rPr>
        <w:t>97</w:t>
      </w:r>
      <w:r>
        <w:rPr>
          <w:rFonts w:hint="default" w:ascii="楷体_GB2312" w:hAnsi="楷体_GB2312" w:eastAsia="楷体_GB2312" w:cs="楷体_GB2312"/>
          <w:b w:val="0"/>
          <w:kern w:val="2"/>
          <w:sz w:val="28"/>
          <w:szCs w:val="28"/>
          <w:lang w:val="en-US" w:eastAsia="zh-CN" w:bidi="ar-SA"/>
        </w:rPr>
        <w:t>%。</w:t>
      </w:r>
    </w:p>
    <w:p w14:paraId="51722354">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default"/>
          <w:lang w:val="en-US" w:eastAsia="zh-CN"/>
        </w:rPr>
      </w:pPr>
      <w:r>
        <w:rPr>
          <w:rFonts w:hint="default" w:ascii="楷体_GB2312" w:hAnsi="楷体_GB2312" w:eastAsia="楷体_GB2312" w:cs="楷体_GB2312"/>
          <w:b w:val="0"/>
          <w:kern w:val="2"/>
          <w:sz w:val="28"/>
          <w:szCs w:val="28"/>
          <w:lang w:val="en-US" w:eastAsia="zh-CN" w:bidi="ar-SA"/>
        </w:rPr>
        <w:t>（</w:t>
      </w:r>
      <w:r>
        <w:rPr>
          <w:rFonts w:hint="eastAsia" w:ascii="楷体_GB2312" w:hAnsi="楷体_GB2312" w:eastAsia="楷体_GB2312" w:cs="楷体_GB2312"/>
          <w:b w:val="0"/>
          <w:kern w:val="2"/>
          <w:sz w:val="28"/>
          <w:szCs w:val="28"/>
          <w:lang w:val="en-US" w:eastAsia="zh-CN" w:bidi="ar-SA"/>
        </w:rPr>
        <w:t>2</w:t>
      </w:r>
      <w:r>
        <w:rPr>
          <w:rFonts w:hint="default" w:ascii="楷体_GB2312" w:hAnsi="楷体_GB2312" w:eastAsia="楷体_GB2312" w:cs="楷体_GB2312"/>
          <w:b w:val="0"/>
          <w:kern w:val="2"/>
          <w:sz w:val="28"/>
          <w:szCs w:val="28"/>
          <w:lang w:val="en-US" w:eastAsia="zh-CN" w:bidi="ar-SA"/>
        </w:rPr>
        <w:t>）</w:t>
      </w:r>
      <w:r>
        <w:rPr>
          <w:rFonts w:hint="eastAsia" w:ascii="楷体_GB2312" w:hAnsi="楷体_GB2312" w:eastAsia="楷体_GB2312" w:cs="楷体_GB2312"/>
          <w:b w:val="0"/>
          <w:kern w:val="2"/>
          <w:sz w:val="28"/>
          <w:szCs w:val="28"/>
          <w:lang w:val="en-US" w:eastAsia="zh-CN" w:bidi="ar-SA"/>
        </w:rPr>
        <w:t>订场馆，预算1.2万元：</w:t>
      </w:r>
      <w:r>
        <w:rPr>
          <w:rFonts w:hint="default" w:ascii="楷体_GB2312" w:hAnsi="楷体_GB2312" w:eastAsia="楷体_GB2312" w:cs="楷体_GB2312"/>
          <w:b w:val="0"/>
          <w:kern w:val="2"/>
          <w:sz w:val="28"/>
          <w:szCs w:val="28"/>
          <w:lang w:val="en-US" w:eastAsia="zh-CN" w:bidi="ar-SA"/>
        </w:rPr>
        <w:t>国家公共文化云</w:t>
      </w:r>
      <w:r>
        <w:rPr>
          <w:rFonts w:hint="eastAsia" w:ascii="楷体_GB2312" w:hAnsi="楷体_GB2312" w:eastAsia="楷体_GB2312" w:cs="楷体_GB2312"/>
          <w:b w:val="0"/>
          <w:kern w:val="2"/>
          <w:sz w:val="28"/>
          <w:szCs w:val="28"/>
          <w:lang w:val="en-US" w:eastAsia="zh-CN" w:bidi="ar-SA"/>
        </w:rPr>
        <w:t>平台发布订场馆软件升级</w:t>
      </w:r>
      <w:r>
        <w:rPr>
          <w:rFonts w:hint="default" w:ascii="楷体_GB2312" w:hAnsi="楷体_GB2312" w:eastAsia="楷体_GB2312" w:cs="楷体_GB2312"/>
          <w:b w:val="0"/>
          <w:kern w:val="2"/>
          <w:sz w:val="28"/>
          <w:szCs w:val="28"/>
          <w:lang w:val="en-US" w:eastAsia="zh-CN" w:bidi="ar-SA"/>
        </w:rPr>
        <w:t>支出</w:t>
      </w:r>
      <w:r>
        <w:rPr>
          <w:rFonts w:hint="eastAsia" w:ascii="楷体_GB2312" w:hAnsi="楷体_GB2312" w:eastAsia="楷体_GB2312" w:cs="楷体_GB2312"/>
          <w:b w:val="0"/>
          <w:kern w:val="2"/>
          <w:sz w:val="28"/>
          <w:szCs w:val="28"/>
          <w:lang w:val="en-US" w:eastAsia="zh-CN" w:bidi="ar-SA"/>
        </w:rPr>
        <w:t>0.505</w:t>
      </w:r>
      <w:r>
        <w:rPr>
          <w:rFonts w:hint="default" w:ascii="楷体_GB2312" w:hAnsi="楷体_GB2312" w:eastAsia="楷体_GB2312" w:cs="楷体_GB2312"/>
          <w:b w:val="0"/>
          <w:kern w:val="2"/>
          <w:sz w:val="28"/>
          <w:szCs w:val="28"/>
          <w:lang w:val="en-US" w:eastAsia="zh-CN" w:bidi="ar-SA"/>
        </w:rPr>
        <w:t>万元，执行率</w:t>
      </w:r>
      <w:r>
        <w:rPr>
          <w:rFonts w:hint="eastAsia" w:ascii="楷体_GB2312" w:hAnsi="楷体_GB2312" w:eastAsia="楷体_GB2312" w:cs="楷体_GB2312"/>
          <w:b w:val="0"/>
          <w:kern w:val="2"/>
          <w:sz w:val="28"/>
          <w:szCs w:val="28"/>
          <w:lang w:val="en-US" w:eastAsia="zh-CN" w:bidi="ar-SA"/>
        </w:rPr>
        <w:t>42</w:t>
      </w:r>
      <w:r>
        <w:rPr>
          <w:rFonts w:hint="default" w:ascii="楷体_GB2312" w:hAnsi="楷体_GB2312" w:eastAsia="楷体_GB2312" w:cs="楷体_GB2312"/>
          <w:b w:val="0"/>
          <w:kern w:val="2"/>
          <w:sz w:val="28"/>
          <w:szCs w:val="28"/>
          <w:lang w:val="en-US" w:eastAsia="zh-CN" w:bidi="ar-SA"/>
        </w:rPr>
        <w:t>%</w:t>
      </w:r>
      <w:r>
        <w:rPr>
          <w:rFonts w:hint="eastAsia" w:ascii="楷体_GB2312" w:hAnsi="楷体_GB2312" w:eastAsia="楷体_GB2312" w:cs="楷体_GB2312"/>
          <w:b w:val="0"/>
          <w:kern w:val="2"/>
          <w:sz w:val="28"/>
          <w:szCs w:val="28"/>
          <w:lang w:val="en-US" w:eastAsia="zh-CN" w:bidi="ar-SA"/>
        </w:rPr>
        <w:t>，主要原因为此项工作我单位是在现有的信息化平台基础上发布订场馆信息，2024年根据平台实际运行情况进行了升级，完善了相关服务，节约了资金。</w:t>
      </w:r>
    </w:p>
    <w:p w14:paraId="11D691A2">
      <w:pPr>
        <w:numPr>
          <w:ilvl w:val="0"/>
          <w:numId w:val="1"/>
        </w:num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资金管理情况分析</w:t>
      </w:r>
    </w:p>
    <w:p w14:paraId="2791D61C">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default" w:ascii="楷体_GB2312" w:hAnsi="楷体_GB2312" w:eastAsia="楷体_GB2312" w:cs="楷体_GB2312"/>
          <w:b w:val="0"/>
          <w:kern w:val="2"/>
          <w:sz w:val="28"/>
          <w:szCs w:val="28"/>
          <w:lang w:val="en-US" w:eastAsia="zh-CN" w:bidi="ar-SA"/>
        </w:rPr>
      </w:pPr>
      <w:r>
        <w:rPr>
          <w:rFonts w:hint="default" w:ascii="楷体_GB2312" w:hAnsi="楷体_GB2312" w:eastAsia="楷体_GB2312" w:cs="楷体_GB2312"/>
          <w:b w:val="0"/>
          <w:kern w:val="2"/>
          <w:sz w:val="28"/>
          <w:szCs w:val="28"/>
          <w:lang w:val="en-US" w:eastAsia="zh-CN" w:bidi="ar-SA"/>
        </w:rPr>
        <w:t>为及时准确监控项目绩效执行情况，确保绩效目标的实现，组成了由主管财务的副主任任组长，各科室负责人组成绩效跟踪工作小组，共同开展绩效目标执行监控管理工作。</w:t>
      </w:r>
    </w:p>
    <w:p w14:paraId="4690959B">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楷体_GB2312" w:hAnsi="楷体_GB2312" w:eastAsia="楷体_GB2312" w:cs="楷体_GB2312"/>
          <w:b w:val="0"/>
          <w:kern w:val="2"/>
          <w:sz w:val="28"/>
          <w:szCs w:val="28"/>
          <w:lang w:val="en-US" w:eastAsia="zh-CN" w:bidi="ar-SA"/>
        </w:rPr>
      </w:pPr>
      <w:r>
        <w:rPr>
          <w:rFonts w:hint="default" w:ascii="楷体_GB2312" w:hAnsi="楷体_GB2312" w:eastAsia="楷体_GB2312" w:cs="楷体_GB2312"/>
          <w:b w:val="0"/>
          <w:kern w:val="2"/>
          <w:sz w:val="28"/>
          <w:szCs w:val="28"/>
          <w:lang w:val="en-US" w:eastAsia="zh-CN" w:bidi="ar-SA"/>
        </w:rPr>
        <w:t>组长负责统筹并指导绩效目标执行监控工作，组员分别负责绩效项目执行管理、绩效完成情况的监控，参与绩效管理具体工作，就项目的支出进度、预算执行、投入产出、预期效益的阶段性完成情况进行动态跟踪监控和纠偏处理并解决，负责绩效管理过程中系列的协调配合工作。</w:t>
      </w:r>
    </w:p>
    <w:p w14:paraId="6B2205C6">
      <w:pPr>
        <w:spacing w:line="60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绩效目标实现情况</w:t>
      </w:r>
    </w:p>
    <w:p w14:paraId="01280F91">
      <w:p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（一）</w:t>
      </w:r>
      <w:r>
        <w:rPr>
          <w:rFonts w:hint="eastAsia" w:ascii="楷体_GB2312" w:hAnsi="楷体_GB2312" w:eastAsia="楷体_GB2312" w:cs="楷体_GB2312"/>
          <w:sz w:val="28"/>
          <w:szCs w:val="28"/>
        </w:rPr>
        <w:t>总体绩效目标完成情况分析</w:t>
      </w:r>
    </w:p>
    <w:p w14:paraId="402D84C2">
      <w:pPr>
        <w:spacing w:line="600" w:lineRule="exact"/>
        <w:ind w:firstLine="560" w:firstLineChars="200"/>
        <w:rPr>
          <w:rFonts w:hint="eastAsia" w:ascii="楷体_GB2312" w:hAnsi="楷体_GB2312" w:eastAsia="楷体_GB2312" w:cs="楷体_GB2312"/>
          <w:sz w:val="28"/>
          <w:szCs w:val="28"/>
          <w:lang w:val="en-US" w:eastAsia="zh-CN"/>
        </w:rPr>
      </w:pPr>
      <w:r>
        <w:rPr>
          <w:rFonts w:hint="default" w:ascii="楷体_GB2312" w:hAnsi="楷体_GB2312" w:eastAsia="楷体_GB2312" w:cs="楷体_GB2312"/>
          <w:sz w:val="28"/>
          <w:szCs w:val="28"/>
        </w:rPr>
        <w:t>202</w:t>
      </w:r>
      <w:r>
        <w:rPr>
          <w:rFonts w:hint="eastAsia" w:ascii="楷体_GB2312" w:hAnsi="楷体_GB2312" w:eastAsia="楷体_GB2312" w:cs="楷体_GB2312"/>
          <w:sz w:val="28"/>
          <w:szCs w:val="28"/>
          <w:lang w:val="en-US" w:eastAsia="zh-CN"/>
        </w:rPr>
        <w:t>4</w:t>
      </w:r>
      <w:r>
        <w:rPr>
          <w:rFonts w:hint="default" w:ascii="楷体_GB2312" w:hAnsi="楷体_GB2312" w:eastAsia="楷体_GB2312" w:cs="楷体_GB2312"/>
          <w:sz w:val="28"/>
          <w:szCs w:val="28"/>
        </w:rPr>
        <w:t>年，我单位完成中央下达的总体绩效目标。</w:t>
      </w:r>
      <w:r>
        <w:rPr>
          <w:rFonts w:hint="eastAsia" w:ascii="楷体_GB2312" w:hAnsi="楷体_GB2312" w:eastAsia="楷体_GB2312" w:cs="楷体_GB2312"/>
          <w:sz w:val="28"/>
          <w:szCs w:val="28"/>
          <w:lang w:val="en-US" w:eastAsia="zh-CN"/>
        </w:rPr>
        <w:t>100%</w:t>
      </w:r>
      <w:r>
        <w:rPr>
          <w:rFonts w:hint="eastAsia" w:ascii="楷体_GB2312" w:hAnsi="楷体_GB2312" w:eastAsia="楷体_GB2312" w:cs="楷体_GB2312"/>
          <w:sz w:val="28"/>
          <w:szCs w:val="28"/>
          <w:lang w:eastAsia="zh-CN"/>
        </w:rPr>
        <w:t>完成学才艺围棋、篆刻</w:t>
      </w:r>
      <w:r>
        <w:rPr>
          <w:rFonts w:hint="eastAsia" w:ascii="楷体_GB2312" w:hAnsi="楷体_GB2312" w:eastAsia="楷体_GB2312" w:cs="楷体_GB2312"/>
          <w:sz w:val="28"/>
          <w:szCs w:val="28"/>
          <w:lang w:val="en-US" w:eastAsia="zh-CN"/>
        </w:rPr>
        <w:t>2门</w:t>
      </w:r>
      <w:r>
        <w:rPr>
          <w:rFonts w:hint="eastAsia" w:ascii="楷体_GB2312" w:hAnsi="楷体_GB2312" w:eastAsia="楷体_GB2312" w:cs="楷体_GB2312"/>
          <w:sz w:val="28"/>
          <w:szCs w:val="28"/>
          <w:lang w:eastAsia="zh-CN"/>
        </w:rPr>
        <w:t>全民艺术普及课程建设；</w:t>
      </w:r>
      <w:r>
        <w:rPr>
          <w:rFonts w:hint="eastAsia" w:ascii="楷体_GB2312" w:hAnsi="楷体_GB2312" w:eastAsia="楷体_GB2312" w:cs="楷体_GB2312"/>
          <w:sz w:val="28"/>
          <w:szCs w:val="28"/>
          <w:lang w:val="en-US" w:eastAsia="zh-CN"/>
        </w:rPr>
        <w:t>100%完成订场馆活动160条信息发布。</w:t>
      </w:r>
    </w:p>
    <w:p w14:paraId="01CC914B">
      <w:pPr>
        <w:spacing w:line="600" w:lineRule="exact"/>
        <w:ind w:firstLine="560" w:firstLineChars="200"/>
        <w:rPr>
          <w:rFonts w:hint="eastAsia"/>
        </w:rPr>
      </w:pPr>
      <w:r>
        <w:rPr>
          <w:rFonts w:hint="default" w:ascii="楷体_GB2312" w:hAnsi="楷体_GB2312" w:eastAsia="楷体_GB2312" w:cs="楷体_GB2312"/>
          <w:sz w:val="28"/>
          <w:szCs w:val="28"/>
          <w:lang w:val="en-US" w:eastAsia="zh-CN"/>
        </w:rPr>
        <w:t>202</w:t>
      </w:r>
      <w:r>
        <w:rPr>
          <w:rFonts w:hint="eastAsia" w:ascii="楷体_GB2312" w:hAnsi="楷体_GB2312" w:eastAsia="楷体_GB2312" w:cs="楷体_GB2312"/>
          <w:sz w:val="28"/>
          <w:szCs w:val="28"/>
          <w:lang w:val="en-US" w:eastAsia="zh-CN"/>
        </w:rPr>
        <w:t>4</w:t>
      </w:r>
      <w:r>
        <w:rPr>
          <w:rFonts w:hint="default" w:ascii="楷体_GB2312" w:hAnsi="楷体_GB2312" w:eastAsia="楷体_GB2312" w:cs="楷体_GB2312"/>
          <w:sz w:val="28"/>
          <w:szCs w:val="28"/>
          <w:lang w:val="en-US" w:eastAsia="zh-CN"/>
        </w:rPr>
        <w:t>年，</w:t>
      </w:r>
      <w:r>
        <w:rPr>
          <w:rFonts w:hint="eastAsia" w:ascii="楷体_GB2312" w:hAnsi="楷体_GB2312" w:eastAsia="楷体_GB2312" w:cs="楷体_GB2312"/>
          <w:sz w:val="28"/>
          <w:szCs w:val="28"/>
          <w:lang w:val="en-US" w:eastAsia="zh-CN"/>
        </w:rPr>
        <w:t>朝阳区</w:t>
      </w:r>
      <w:r>
        <w:rPr>
          <w:rFonts w:hint="default" w:ascii="楷体_GB2312" w:hAnsi="楷体_GB2312" w:eastAsia="楷体_GB2312" w:cs="楷体_GB2312"/>
          <w:sz w:val="28"/>
          <w:szCs w:val="28"/>
          <w:lang w:eastAsia="zh-CN"/>
        </w:rPr>
        <w:t>宣</w:t>
      </w:r>
      <w:r>
        <w:rPr>
          <w:rFonts w:hint="eastAsia" w:ascii="楷体_GB2312" w:hAnsi="楷体_GB2312" w:eastAsia="楷体_GB2312" w:cs="楷体_GB2312"/>
          <w:sz w:val="28"/>
          <w:szCs w:val="28"/>
          <w:lang w:eastAsia="zh-CN"/>
        </w:rPr>
        <w:t>传</w:t>
      </w:r>
      <w:r>
        <w:rPr>
          <w:rFonts w:hint="default" w:ascii="楷体_GB2312" w:hAnsi="楷体_GB2312" w:eastAsia="楷体_GB2312" w:cs="楷体_GB2312"/>
          <w:sz w:val="28"/>
          <w:szCs w:val="28"/>
          <w:lang w:eastAsia="zh-CN"/>
        </w:rPr>
        <w:t>文</w:t>
      </w:r>
      <w:r>
        <w:rPr>
          <w:rFonts w:hint="eastAsia" w:ascii="楷体_GB2312" w:hAnsi="楷体_GB2312" w:eastAsia="楷体_GB2312" w:cs="楷体_GB2312"/>
          <w:sz w:val="28"/>
          <w:szCs w:val="28"/>
          <w:lang w:eastAsia="zh-CN"/>
        </w:rPr>
        <w:t>化</w:t>
      </w:r>
      <w:r>
        <w:rPr>
          <w:rFonts w:hint="default" w:ascii="楷体_GB2312" w:hAnsi="楷体_GB2312" w:eastAsia="楷体_GB2312" w:cs="楷体_GB2312"/>
          <w:sz w:val="28"/>
          <w:szCs w:val="28"/>
          <w:lang w:eastAsia="zh-CN"/>
        </w:rPr>
        <w:t>中心</w:t>
      </w:r>
      <w:r>
        <w:rPr>
          <w:rFonts w:hint="default" w:ascii="楷体_GB2312" w:hAnsi="楷体_GB2312" w:eastAsia="楷体_GB2312" w:cs="楷体_GB2312"/>
          <w:sz w:val="28"/>
          <w:szCs w:val="28"/>
          <w:lang w:val="en-US" w:eastAsia="zh-CN"/>
        </w:rPr>
        <w:t>持续把各项学习成果转化为强大的工作动力，进一步坚定使命责任、明确未来五年发展方向，聚焦全国文化中心建设，深耕“三化”主攻方向，主动承担文化赋能城市发展的职责使命，深挖用足区域资源，精耕细作宣传文化阵地，创新发展特色品牌，为群众提供更加优质便捷的公共文化服务。</w:t>
      </w:r>
    </w:p>
    <w:p w14:paraId="6D5DD993">
      <w:pPr>
        <w:numPr>
          <w:ilvl w:val="0"/>
          <w:numId w:val="2"/>
        </w:num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绩效指标完成情况分析</w:t>
      </w:r>
    </w:p>
    <w:p w14:paraId="1D20BBFD">
      <w:pPr>
        <w:numPr>
          <w:numId w:val="0"/>
        </w:numPr>
        <w:spacing w:line="60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val="en-US" w:eastAsia="zh-CN"/>
        </w:rPr>
        <w:t>2</w:t>
      </w:r>
      <w:r>
        <w:rPr>
          <w:rFonts w:hint="default" w:ascii="楷体_GB2312" w:hAnsi="楷体_GB2312" w:eastAsia="楷体_GB2312" w:cs="楷体_GB2312"/>
          <w:sz w:val="28"/>
          <w:szCs w:val="28"/>
        </w:rPr>
        <w:t>02</w:t>
      </w:r>
      <w:r>
        <w:rPr>
          <w:rFonts w:hint="eastAsia" w:ascii="楷体_GB2312" w:hAnsi="楷体_GB2312" w:eastAsia="楷体_GB2312" w:cs="楷体_GB2312"/>
          <w:sz w:val="28"/>
          <w:szCs w:val="28"/>
          <w:lang w:val="en-US" w:eastAsia="zh-CN"/>
        </w:rPr>
        <w:t>4</w:t>
      </w:r>
      <w:r>
        <w:rPr>
          <w:rFonts w:hint="eastAsia" w:ascii="楷体_GB2312" w:hAnsi="楷体_GB2312" w:eastAsia="楷体_GB2312" w:cs="楷体_GB2312"/>
          <w:sz w:val="28"/>
          <w:szCs w:val="28"/>
        </w:rPr>
        <w:t>年，我单位圆满完成中央下达的各项绩效指标。各项指标完成情况详见下表：</w:t>
      </w:r>
    </w:p>
    <w:p w14:paraId="44FC7E80">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楷体_GB2312" w:hAnsi="楷体_GB2312" w:eastAsia="楷体_GB2312" w:cs="楷体_GB2312"/>
          <w:sz w:val="28"/>
          <w:szCs w:val="28"/>
          <w:lang w:eastAsia="zh-CN"/>
        </w:rPr>
      </w:pPr>
    </w:p>
    <w:p w14:paraId="047E5101">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楷体_GB2312" w:hAnsi="楷体_GB2312" w:eastAsia="楷体_GB2312" w:cs="楷体_GB2312"/>
          <w:sz w:val="28"/>
          <w:szCs w:val="28"/>
        </w:rPr>
      </w:pPr>
      <w:bookmarkStart w:id="0" w:name="_GoBack"/>
      <w:bookmarkEnd w:id="0"/>
      <w:r>
        <w:rPr>
          <w:rFonts w:hint="eastAsia" w:ascii="楷体_GB2312" w:hAnsi="楷体_GB2312" w:eastAsia="楷体_GB2312" w:cs="楷体_GB2312"/>
          <w:sz w:val="28"/>
          <w:szCs w:val="28"/>
          <w:lang w:eastAsia="zh-CN"/>
        </w:rPr>
        <w:t>中</w:t>
      </w:r>
      <w:r>
        <w:rPr>
          <w:rFonts w:hint="eastAsia" w:ascii="楷体_GB2312" w:hAnsi="楷体_GB2312" w:eastAsia="楷体_GB2312" w:cs="楷体_GB2312"/>
          <w:sz w:val="28"/>
          <w:szCs w:val="28"/>
          <w:lang w:eastAsia="zh-CN"/>
        </w:rPr>
        <w:t>央支持地方公共文化服务建设补助</w:t>
      </w:r>
      <w:r>
        <w:rPr>
          <w:rFonts w:hint="eastAsia" w:ascii="楷体_GB2312" w:hAnsi="楷体_GB2312" w:eastAsia="楷体_GB2312" w:cs="楷体_GB2312"/>
          <w:sz w:val="28"/>
          <w:szCs w:val="28"/>
        </w:rPr>
        <w:t>项目202</w:t>
      </w:r>
      <w:r>
        <w:rPr>
          <w:rFonts w:hint="eastAsia" w:ascii="楷体_GB2312" w:hAnsi="楷体_GB2312" w:eastAsia="楷体_GB2312" w:cs="楷体_GB2312"/>
          <w:sz w:val="28"/>
          <w:szCs w:val="28"/>
          <w:lang w:val="en-US" w:eastAsia="zh-CN"/>
        </w:rPr>
        <w:t>4</w:t>
      </w:r>
      <w:r>
        <w:rPr>
          <w:rFonts w:hint="eastAsia" w:ascii="楷体_GB2312" w:hAnsi="楷体_GB2312" w:eastAsia="楷体_GB2312" w:cs="楷体_GB2312"/>
          <w:sz w:val="28"/>
          <w:szCs w:val="28"/>
        </w:rPr>
        <w:t>年度绩效指标完成情况</w:t>
      </w:r>
    </w:p>
    <w:p w14:paraId="478378F7">
      <w:pPr>
        <w:pStyle w:val="2"/>
      </w:pPr>
    </w:p>
    <w:tbl>
      <w:tblPr>
        <w:tblStyle w:val="8"/>
        <w:tblW w:w="8921" w:type="dxa"/>
        <w:jc w:val="center"/>
        <w:tblLayout w:type="fixed"/>
        <w:tblCellMar>
          <w:top w:w="0" w:type="dxa"/>
          <w:left w:w="0" w:type="dxa"/>
          <w:bottom w:w="0" w:type="dxa"/>
          <w:right w:w="0" w:type="dxa"/>
        </w:tblCellMar>
      </w:tblPr>
      <w:tblGrid>
        <w:gridCol w:w="822"/>
        <w:gridCol w:w="1449"/>
        <w:gridCol w:w="2394"/>
        <w:gridCol w:w="1950"/>
        <w:gridCol w:w="1283"/>
        <w:gridCol w:w="1023"/>
      </w:tblGrid>
      <w:tr w14:paraId="27DE1861">
        <w:tblPrEx>
          <w:tblCellMar>
            <w:top w:w="0" w:type="dxa"/>
            <w:left w:w="0" w:type="dxa"/>
            <w:bottom w:w="0" w:type="dxa"/>
            <w:right w:w="0" w:type="dxa"/>
          </w:tblCellMar>
        </w:tblPrEx>
        <w:trPr>
          <w:trHeight w:val="1127"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0CBDEA">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一级指标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972804E">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二级指标</w:t>
            </w:r>
          </w:p>
        </w:tc>
        <w:tc>
          <w:tcPr>
            <w:tcW w:w="2394"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D98201E">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三级指标</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BC8250F">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年度指标值</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2BFE379">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完成值</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78A19EF">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完成比例</w:t>
            </w:r>
          </w:p>
        </w:tc>
      </w:tr>
      <w:tr w14:paraId="1F61B425">
        <w:tblPrEx>
          <w:tblCellMar>
            <w:top w:w="0" w:type="dxa"/>
            <w:left w:w="0" w:type="dxa"/>
            <w:bottom w:w="0" w:type="dxa"/>
            <w:right w:w="0" w:type="dxa"/>
          </w:tblCellMar>
        </w:tblPrEx>
        <w:trPr>
          <w:trHeight w:val="1074"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1871379">
            <w:pPr>
              <w:widowControl/>
              <w:jc w:val="center"/>
              <w:textAlignment w:val="center"/>
              <w:rPr>
                <w:rFonts w:hint="default" w:ascii="Times New Roman" w:hAnsi="Times New Roman" w:eastAsia="方正仿宋_GB18030" w:cs="Times New Roman"/>
                <w:color w:val="000000"/>
                <w:sz w:val="20"/>
                <w:szCs w:val="20"/>
              </w:rPr>
            </w:pPr>
            <w:r>
              <w:rPr>
                <w:rFonts w:hint="default" w:ascii="Times New Roman" w:hAnsi="Times New Roman" w:eastAsia="方正仿宋_GB18030" w:cs="Times New Roman"/>
                <w:color w:val="000000"/>
                <w:kern w:val="0"/>
                <w:sz w:val="20"/>
                <w:szCs w:val="20"/>
                <w:lang w:bidi="ar"/>
              </w:rPr>
              <w:t>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E3B9C29">
            <w:pPr>
              <w:jc w:val="center"/>
              <w:rPr>
                <w:rFonts w:hint="default" w:ascii="Times New Roman" w:hAnsi="Times New Roman" w:eastAsia="方正仿宋_GB18030" w:cs="Times New Roman"/>
                <w:color w:val="000000"/>
                <w:sz w:val="20"/>
                <w:szCs w:val="20"/>
                <w:lang w:eastAsia="zh-CN"/>
              </w:rPr>
            </w:pPr>
            <w:r>
              <w:rPr>
                <w:rFonts w:hint="eastAsia" w:eastAsia="方正仿宋_GB18030" w:cs="Times New Roman"/>
                <w:color w:val="000000"/>
                <w:sz w:val="20"/>
                <w:szCs w:val="20"/>
                <w:lang w:eastAsia="zh-CN"/>
              </w:rPr>
              <w:t>学才艺</w:t>
            </w:r>
          </w:p>
        </w:tc>
        <w:tc>
          <w:tcPr>
            <w:tcW w:w="2394"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656541B">
            <w:pPr>
              <w:jc w:val="center"/>
              <w:rPr>
                <w:rFonts w:hint="default" w:ascii="Times New Roman" w:hAnsi="Times New Roman" w:eastAsia="方正仿宋_GB18030" w:cs="Times New Roman"/>
                <w:color w:val="000000"/>
                <w:sz w:val="20"/>
                <w:szCs w:val="20"/>
                <w:lang w:eastAsia="zh-CN"/>
              </w:rPr>
            </w:pPr>
            <w:r>
              <w:rPr>
                <w:rFonts w:hint="eastAsia" w:eastAsia="方正仿宋_GB18030" w:cs="Times New Roman"/>
                <w:color w:val="000000"/>
                <w:sz w:val="20"/>
                <w:szCs w:val="20"/>
                <w:lang w:eastAsia="zh-CN"/>
              </w:rPr>
              <w:t>开展围棋、篆刻课程建设</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698F16B">
            <w:pPr>
              <w:jc w:val="center"/>
              <w:rPr>
                <w:rFonts w:hint="default" w:ascii="Times New Roman" w:hAnsi="Times New Roman" w:eastAsia="方正仿宋_GB18030" w:cs="Times New Roman"/>
                <w:color w:val="000000"/>
                <w:sz w:val="20"/>
                <w:szCs w:val="20"/>
                <w:lang w:val="en-US" w:eastAsia="zh-CN"/>
              </w:rPr>
            </w:pPr>
            <w:r>
              <w:rPr>
                <w:rFonts w:hint="eastAsia" w:eastAsia="方正仿宋_GB18030" w:cs="Times New Roman"/>
                <w:color w:val="000000"/>
                <w:sz w:val="20"/>
                <w:szCs w:val="20"/>
                <w:lang w:val="en-US" w:eastAsia="zh-CN"/>
              </w:rPr>
              <w:t>2门</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26AFD87">
            <w:pPr>
              <w:jc w:val="center"/>
              <w:rPr>
                <w:rFonts w:hint="default" w:ascii="Times New Roman" w:hAnsi="Times New Roman" w:eastAsia="方正仿宋_GB18030" w:cs="Times New Roman"/>
                <w:color w:val="000000"/>
                <w:sz w:val="20"/>
                <w:szCs w:val="20"/>
                <w:lang w:val="en-US" w:eastAsia="zh-CN"/>
              </w:rPr>
            </w:pPr>
            <w:r>
              <w:rPr>
                <w:rFonts w:hint="eastAsia" w:eastAsia="方正仿宋_GB18030" w:cs="Times New Roman"/>
                <w:color w:val="000000"/>
                <w:sz w:val="20"/>
                <w:szCs w:val="20"/>
                <w:lang w:val="en-US" w:eastAsia="zh-CN"/>
              </w:rPr>
              <w:t>2门</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2D7EC89">
            <w:pPr>
              <w:jc w:val="center"/>
              <w:rPr>
                <w:rFonts w:hint="default" w:ascii="Times New Roman" w:hAnsi="Times New Roman" w:eastAsia="方正仿宋_GB18030" w:cs="Times New Roman"/>
                <w:color w:val="000000"/>
                <w:sz w:val="20"/>
                <w:szCs w:val="20"/>
                <w:lang w:val="en-US" w:eastAsia="zh-CN"/>
              </w:rPr>
            </w:pPr>
            <w:r>
              <w:rPr>
                <w:rFonts w:hint="default" w:ascii="Times New Roman" w:hAnsi="Times New Roman" w:eastAsia="方正仿宋_GB18030" w:cs="Times New Roman"/>
                <w:color w:val="000000"/>
                <w:sz w:val="20"/>
                <w:szCs w:val="20"/>
                <w:lang w:val="en-US" w:eastAsia="zh-CN"/>
              </w:rPr>
              <w:t>100%</w:t>
            </w:r>
          </w:p>
        </w:tc>
      </w:tr>
      <w:tr w14:paraId="78E32F2B">
        <w:tblPrEx>
          <w:tblCellMar>
            <w:top w:w="0" w:type="dxa"/>
            <w:left w:w="0" w:type="dxa"/>
            <w:bottom w:w="0" w:type="dxa"/>
            <w:right w:w="0" w:type="dxa"/>
          </w:tblCellMar>
        </w:tblPrEx>
        <w:trPr>
          <w:trHeight w:val="1168"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572CA05">
            <w:pPr>
              <w:widowControl/>
              <w:jc w:val="center"/>
              <w:textAlignment w:val="center"/>
              <w:rPr>
                <w:rFonts w:hint="default" w:ascii="Times New Roman" w:hAnsi="Times New Roman" w:eastAsia="方正仿宋_GB18030" w:cs="Times New Roman"/>
                <w:color w:val="000000"/>
                <w:sz w:val="20"/>
                <w:szCs w:val="20"/>
              </w:rPr>
            </w:pPr>
            <w:r>
              <w:rPr>
                <w:rFonts w:hint="default" w:ascii="Times New Roman" w:hAnsi="Times New Roman" w:eastAsia="方正仿宋_GB18030" w:cs="Times New Roman"/>
                <w:color w:val="000000"/>
                <w:kern w:val="0"/>
                <w:sz w:val="20"/>
                <w:szCs w:val="20"/>
                <w:lang w:bidi="ar"/>
              </w:rPr>
              <w:t>2</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561C2D4">
            <w:pPr>
              <w:jc w:val="center"/>
              <w:rPr>
                <w:rFonts w:hint="default" w:ascii="Times New Roman" w:hAnsi="Times New Roman" w:eastAsia="方正仿宋_GB18030" w:cs="Times New Roman"/>
                <w:color w:val="000000"/>
                <w:sz w:val="20"/>
                <w:szCs w:val="20"/>
                <w:lang w:eastAsia="zh-CN"/>
              </w:rPr>
            </w:pPr>
            <w:r>
              <w:rPr>
                <w:rFonts w:hint="eastAsia" w:eastAsia="方正仿宋_GB18030" w:cs="Times New Roman"/>
                <w:color w:val="000000"/>
                <w:sz w:val="20"/>
                <w:szCs w:val="20"/>
                <w:lang w:eastAsia="zh-CN"/>
              </w:rPr>
              <w:t>订场馆</w:t>
            </w:r>
          </w:p>
        </w:tc>
        <w:tc>
          <w:tcPr>
            <w:tcW w:w="2394"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09C6697">
            <w:pPr>
              <w:jc w:val="center"/>
              <w:rPr>
                <w:rFonts w:hint="default" w:ascii="Times New Roman" w:hAnsi="Times New Roman" w:eastAsia="方正仿宋_GB18030" w:cs="Times New Roman"/>
                <w:color w:val="000000"/>
                <w:sz w:val="20"/>
                <w:szCs w:val="20"/>
                <w:lang w:eastAsia="zh-CN"/>
              </w:rPr>
            </w:pPr>
            <w:r>
              <w:rPr>
                <w:rFonts w:hint="eastAsia" w:eastAsia="方正仿宋_GB18030" w:cs="Times New Roman"/>
                <w:color w:val="000000"/>
                <w:sz w:val="20"/>
                <w:szCs w:val="20"/>
                <w:lang w:eastAsia="zh-CN"/>
              </w:rPr>
              <w:t>场馆及活动信息</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A14BC8E">
            <w:pPr>
              <w:jc w:val="center"/>
              <w:rPr>
                <w:rFonts w:hint="default" w:ascii="Times New Roman" w:hAnsi="Times New Roman" w:eastAsia="方正仿宋_GB18030" w:cs="Times New Roman"/>
                <w:color w:val="000000"/>
                <w:sz w:val="20"/>
                <w:szCs w:val="20"/>
                <w:lang w:val="en-US" w:eastAsia="zh-CN"/>
              </w:rPr>
            </w:pPr>
            <w:r>
              <w:rPr>
                <w:rFonts w:hint="eastAsia" w:eastAsia="方正仿宋_GB18030" w:cs="Times New Roman"/>
                <w:color w:val="000000"/>
                <w:sz w:val="20"/>
                <w:szCs w:val="20"/>
                <w:lang w:val="en-US" w:eastAsia="zh-CN"/>
              </w:rPr>
              <w:t>100条</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85E7C87">
            <w:pPr>
              <w:jc w:val="center"/>
              <w:rPr>
                <w:rFonts w:hint="default" w:ascii="Times New Roman" w:hAnsi="Times New Roman" w:eastAsia="方正仿宋_GB18030" w:cs="Times New Roman"/>
                <w:color w:val="000000"/>
                <w:sz w:val="20"/>
                <w:szCs w:val="20"/>
                <w:lang w:val="en-US" w:eastAsia="zh-CN"/>
              </w:rPr>
            </w:pPr>
            <w:r>
              <w:rPr>
                <w:rFonts w:hint="eastAsia" w:eastAsia="方正仿宋_GB18030" w:cs="Times New Roman"/>
                <w:color w:val="000000"/>
                <w:sz w:val="20"/>
                <w:szCs w:val="20"/>
                <w:lang w:val="en-US" w:eastAsia="zh-CN"/>
              </w:rPr>
              <w:t>160条</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FBF7748">
            <w:pPr>
              <w:jc w:val="center"/>
              <w:rPr>
                <w:rFonts w:hint="default" w:ascii="Times New Roman" w:hAnsi="Times New Roman" w:eastAsia="方正仿宋_GB18030" w:cs="Times New Roman"/>
                <w:color w:val="000000"/>
                <w:sz w:val="20"/>
                <w:szCs w:val="20"/>
                <w:lang w:val="en-US" w:eastAsia="zh-CN"/>
              </w:rPr>
            </w:pPr>
            <w:r>
              <w:rPr>
                <w:rFonts w:hint="default" w:ascii="Times New Roman" w:hAnsi="Times New Roman" w:eastAsia="方正仿宋_GB18030" w:cs="Times New Roman"/>
                <w:color w:val="000000"/>
                <w:sz w:val="20"/>
                <w:szCs w:val="20"/>
                <w:lang w:val="en-US" w:eastAsia="zh-CN"/>
              </w:rPr>
              <w:t>100%</w:t>
            </w:r>
          </w:p>
        </w:tc>
      </w:tr>
    </w:tbl>
    <w:p w14:paraId="28E226DC">
      <w:pPr>
        <w:pStyle w:val="2"/>
        <w:numPr>
          <w:numId w:val="0"/>
        </w:numPr>
        <w:rPr>
          <w:rFonts w:hint="eastAsia"/>
        </w:rPr>
      </w:pPr>
    </w:p>
    <w:p w14:paraId="04F4D845">
      <w:pPr>
        <w:spacing w:line="60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eastAsia="zh-CN"/>
        </w:rPr>
        <w:t>三、</w:t>
      </w:r>
      <w:r>
        <w:rPr>
          <w:rFonts w:hint="eastAsia" w:ascii="黑体" w:hAnsi="黑体" w:eastAsia="黑体" w:cs="黑体"/>
          <w:sz w:val="28"/>
          <w:szCs w:val="28"/>
        </w:rPr>
        <w:t>绩效自评结论</w:t>
      </w:r>
    </w:p>
    <w:p w14:paraId="6BE3F21A">
      <w:pPr>
        <w:numPr>
          <w:ilvl w:val="0"/>
          <w:numId w:val="0"/>
        </w:numPr>
        <w:spacing w:line="600" w:lineRule="exact"/>
        <w:ind w:firstLine="560" w:firstLineChars="20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 xml:space="preserve">该项目未发生绩效目标偏离情况。 </w:t>
      </w:r>
    </w:p>
    <w:p w14:paraId="3A28852E"/>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18030">
    <w:altName w:val="仿宋"/>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F100F">
    <w:pPr>
      <w:pStyle w:val="6"/>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A0F99">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DAA0F99">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14:paraId="56D82B3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82DC8"/>
    <w:multiLevelType w:val="singleLevel"/>
    <w:tmpl w:val="A2082DC8"/>
    <w:lvl w:ilvl="0" w:tentative="0">
      <w:start w:val="2"/>
      <w:numFmt w:val="chineseCounting"/>
      <w:suff w:val="nothing"/>
      <w:lvlText w:val="（%1）"/>
      <w:lvlJc w:val="left"/>
      <w:rPr>
        <w:rFonts w:hint="eastAsia"/>
      </w:rPr>
    </w:lvl>
  </w:abstractNum>
  <w:abstractNum w:abstractNumId="1">
    <w:nsid w:val="B36D29D1"/>
    <w:multiLevelType w:val="singleLevel"/>
    <w:tmpl w:val="B36D29D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465181"/>
    <w:rsid w:val="0057202C"/>
    <w:rsid w:val="005E3946"/>
    <w:rsid w:val="0060746B"/>
    <w:rsid w:val="00826643"/>
    <w:rsid w:val="00954F6E"/>
    <w:rsid w:val="00B03B70"/>
    <w:rsid w:val="00CF07EE"/>
    <w:rsid w:val="00E617B2"/>
    <w:rsid w:val="00F42C33"/>
    <w:rsid w:val="09150EA9"/>
    <w:rsid w:val="0CFD59F9"/>
    <w:rsid w:val="137B15F2"/>
    <w:rsid w:val="1D7A24E1"/>
    <w:rsid w:val="1F926FB2"/>
    <w:rsid w:val="28340A9C"/>
    <w:rsid w:val="2ED3590C"/>
    <w:rsid w:val="33B57CD6"/>
    <w:rsid w:val="3E7E3EC9"/>
    <w:rsid w:val="408815FE"/>
    <w:rsid w:val="423B4033"/>
    <w:rsid w:val="45E561F9"/>
    <w:rsid w:val="5B1D39DF"/>
    <w:rsid w:val="6E0E5CF7"/>
    <w:rsid w:val="70795D2D"/>
    <w:rsid w:val="74B3492E"/>
    <w:rsid w:val="78307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semiHidden="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line="560" w:lineRule="exact"/>
      <w:ind w:firstLine="880" w:firstLineChars="200"/>
    </w:pPr>
    <w:rPr>
      <w:rFonts w:ascii="黑体" w:hAnsi="黑体" w:eastAsia="黑体"/>
      <w:b/>
      <w:sz w:val="36"/>
    </w:rPr>
  </w:style>
  <w:style w:type="paragraph" w:customStyle="1" w:styleId="3">
    <w:name w:val="toc 1_b958cacf-7e5f-454f-8c5b-6e15b77831f9"/>
    <w:next w:val="1"/>
    <w:autoRedefine/>
    <w:qFormat/>
    <w:uiPriority w:val="0"/>
    <w:pPr>
      <w:wordWrap w:val="0"/>
      <w:jc w:val="both"/>
    </w:pPr>
    <w:rPr>
      <w:rFonts w:ascii="Times New Roman" w:hAnsi="Times New Roman" w:eastAsia="宋体" w:cs="Times New Roman"/>
      <w:sz w:val="21"/>
      <w:szCs w:val="22"/>
      <w:lang w:val="en-US" w:eastAsia="zh-CN" w:bidi="ar-SA"/>
    </w:rPr>
  </w:style>
  <w:style w:type="paragraph" w:styleId="4">
    <w:name w:val="Normal Indent"/>
    <w:basedOn w:val="1"/>
    <w:unhideWhenUsed/>
    <w:uiPriority w:val="0"/>
    <w:pPr>
      <w:ind w:firstLine="200" w:firstLineChars="200"/>
    </w:pPr>
  </w:style>
  <w:style w:type="paragraph" w:styleId="5">
    <w:name w:val="Balloon Text"/>
    <w:basedOn w:val="1"/>
    <w:link w:val="11"/>
    <w:unhideWhenUsed/>
    <w:uiPriority w:val="0"/>
    <w:rPr>
      <w:sz w:val="18"/>
      <w:szCs w:val="18"/>
    </w:rPr>
  </w:style>
  <w:style w:type="paragraph" w:styleId="6">
    <w:name w:val="footer"/>
    <w:basedOn w:val="1"/>
    <w:uiPriority w:val="0"/>
    <w:pPr>
      <w:tabs>
        <w:tab w:val="center" w:pos="4153"/>
        <w:tab w:val="right" w:pos="8306"/>
      </w:tabs>
      <w:snapToGrid w:val="0"/>
      <w:jc w:val="left"/>
    </w:pPr>
    <w:rPr>
      <w:sz w:val="18"/>
      <w:szCs w:val="20"/>
    </w:rPr>
  </w:style>
  <w:style w:type="paragraph" w:styleId="7">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0"/>
    <w:rPr>
      <w:rFonts w:ascii="Times New Roman" w:hAnsi="Times New Roman" w:eastAsia="宋体" w:cs="Times New Roman"/>
      <w:kern w:val="2"/>
      <w:sz w:val="18"/>
      <w:szCs w:val="18"/>
    </w:rPr>
  </w:style>
  <w:style w:type="character" w:customStyle="1" w:styleId="11">
    <w:name w:val="批注框文本 字符"/>
    <w:basedOn w:val="9"/>
    <w:link w:val="5"/>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247</Words>
  <Characters>250</Characters>
  <Lines>3</Lines>
  <Paragraphs>1</Paragraphs>
  <TotalTime>0</TotalTime>
  <ScaleCrop>false</ScaleCrop>
  <LinksUpToDate>false</LinksUpToDate>
  <CharactersWithSpaces>251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Fatou</cp:lastModifiedBy>
  <cp:lastPrinted>2025-09-01T07:06:55Z</cp:lastPrinted>
  <dcterms:modified xsi:type="dcterms:W3CDTF">2025-09-01T07:25:14Z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eyJoZGlkIjoiNjgxYzRmN2IzYjIyMzZmNmE1ZTdhNWQyMGM3ZDRhMjUifQ==</vt:lpwstr>
  </property>
  <property fmtid="{D5CDD505-2E9C-101B-9397-08002B2CF9AE}" pid="4" name="ICV">
    <vt:lpwstr>CB334ACE15434CDE9B832008616651CA_12</vt:lpwstr>
  </property>
</Properties>
</file>